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555"/>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2529"/>
        <w:gridCol w:w="2766"/>
      </w:tblGrid>
      <w:tr w:rsidR="007B4878" w:rsidRPr="006D6390" w:rsidTr="007B4878">
        <w:trPr>
          <w:trHeight w:val="586"/>
        </w:trPr>
        <w:tc>
          <w:tcPr>
            <w:tcW w:w="3721" w:type="dxa"/>
          </w:tcPr>
          <w:p w:rsidR="007B4878" w:rsidRPr="006D6390" w:rsidRDefault="007B4878" w:rsidP="008269D9">
            <w:pPr>
              <w:pStyle w:val="ListParagraph"/>
              <w:ind w:left="0"/>
              <w:rPr>
                <w:b/>
              </w:rPr>
            </w:pPr>
            <w:r w:rsidRPr="006D6390">
              <w:rPr>
                <w:b/>
              </w:rPr>
              <w:t>Membership Category</w:t>
            </w:r>
          </w:p>
        </w:tc>
        <w:tc>
          <w:tcPr>
            <w:tcW w:w="2529" w:type="dxa"/>
          </w:tcPr>
          <w:p w:rsidR="007B4878" w:rsidRDefault="007B4878" w:rsidP="007B4878">
            <w:pPr>
              <w:pStyle w:val="ListParagraph"/>
              <w:ind w:left="0"/>
              <w:rPr>
                <w:b/>
              </w:rPr>
            </w:pPr>
            <w:r>
              <w:rPr>
                <w:b/>
              </w:rPr>
              <w:t>Admission Fees</w:t>
            </w:r>
          </w:p>
        </w:tc>
        <w:tc>
          <w:tcPr>
            <w:tcW w:w="2766" w:type="dxa"/>
          </w:tcPr>
          <w:p w:rsidR="007B4878" w:rsidRPr="006D6390" w:rsidRDefault="007B4878" w:rsidP="007B4878">
            <w:pPr>
              <w:pStyle w:val="ListParagraph"/>
              <w:ind w:left="0"/>
              <w:rPr>
                <w:b/>
              </w:rPr>
            </w:pPr>
            <w:r>
              <w:rPr>
                <w:b/>
              </w:rPr>
              <w:t xml:space="preserve">Revised </w:t>
            </w:r>
            <w:r w:rsidRPr="006D6390">
              <w:rPr>
                <w:b/>
              </w:rPr>
              <w:t>subscription fees</w:t>
            </w:r>
            <w:r>
              <w:rPr>
                <w:b/>
              </w:rPr>
              <w:t xml:space="preserve"> </w:t>
            </w:r>
            <w:proofErr w:type="spellStart"/>
            <w:r>
              <w:rPr>
                <w:b/>
              </w:rPr>
              <w:t>w.e.f</w:t>
            </w:r>
            <w:proofErr w:type="spellEnd"/>
            <w:r>
              <w:rPr>
                <w:b/>
              </w:rPr>
              <w:t>. 1.4.2018</w:t>
            </w:r>
          </w:p>
        </w:tc>
      </w:tr>
      <w:tr w:rsidR="007B4878" w:rsidRPr="006D6390" w:rsidTr="007B4878">
        <w:trPr>
          <w:trHeight w:val="437"/>
        </w:trPr>
        <w:tc>
          <w:tcPr>
            <w:tcW w:w="3721" w:type="dxa"/>
          </w:tcPr>
          <w:p w:rsidR="007B4878" w:rsidRPr="006D6390" w:rsidRDefault="007B4878" w:rsidP="008269D9">
            <w:pPr>
              <w:pStyle w:val="ListParagraph"/>
              <w:ind w:left="0"/>
              <w:rPr>
                <w:b/>
              </w:rPr>
            </w:pPr>
            <w:r w:rsidRPr="006D6390">
              <w:rPr>
                <w:b/>
              </w:rPr>
              <w:t>CORPORATE</w:t>
            </w:r>
          </w:p>
        </w:tc>
        <w:tc>
          <w:tcPr>
            <w:tcW w:w="2529" w:type="dxa"/>
          </w:tcPr>
          <w:p w:rsidR="007B4878" w:rsidRPr="006D6390" w:rsidRDefault="007B4878" w:rsidP="008269D9">
            <w:pPr>
              <w:pStyle w:val="ListParagraph"/>
              <w:ind w:left="0"/>
              <w:rPr>
                <w:b/>
              </w:rPr>
            </w:pPr>
          </w:p>
        </w:tc>
        <w:tc>
          <w:tcPr>
            <w:tcW w:w="2766" w:type="dxa"/>
          </w:tcPr>
          <w:p w:rsidR="007B4878" w:rsidRPr="006D6390" w:rsidRDefault="007B4878" w:rsidP="008269D9">
            <w:pPr>
              <w:pStyle w:val="ListParagraph"/>
              <w:ind w:left="0"/>
              <w:rPr>
                <w:b/>
              </w:rPr>
            </w:pPr>
          </w:p>
        </w:tc>
      </w:tr>
      <w:tr w:rsidR="007B4878" w:rsidRPr="006D6390" w:rsidTr="007B4878">
        <w:trPr>
          <w:trHeight w:val="738"/>
        </w:trPr>
        <w:tc>
          <w:tcPr>
            <w:tcW w:w="3721" w:type="dxa"/>
          </w:tcPr>
          <w:p w:rsidR="007B4878" w:rsidRPr="006D6390" w:rsidRDefault="007B4878" w:rsidP="007B4878">
            <w:pPr>
              <w:pStyle w:val="ListParagraph"/>
              <w:numPr>
                <w:ilvl w:val="0"/>
                <w:numId w:val="1"/>
              </w:numPr>
              <w:spacing w:after="0" w:line="240" w:lineRule="auto"/>
            </w:pPr>
            <w:r w:rsidRPr="006D6390">
              <w:t>Sustaining(Small Scale &amp; Large Scale)</w:t>
            </w:r>
          </w:p>
        </w:tc>
        <w:tc>
          <w:tcPr>
            <w:tcW w:w="2529" w:type="dxa"/>
          </w:tcPr>
          <w:p w:rsidR="007B4878" w:rsidRPr="006D6390" w:rsidRDefault="007B4878" w:rsidP="008269D9">
            <w:pPr>
              <w:pStyle w:val="ListParagraph"/>
              <w:ind w:left="0"/>
            </w:pPr>
          </w:p>
        </w:tc>
        <w:tc>
          <w:tcPr>
            <w:tcW w:w="2766" w:type="dxa"/>
          </w:tcPr>
          <w:p w:rsidR="007B4878" w:rsidRPr="006D6390" w:rsidRDefault="007B4878" w:rsidP="008269D9">
            <w:pPr>
              <w:pStyle w:val="ListParagraph"/>
              <w:ind w:left="0"/>
            </w:pPr>
            <w:r w:rsidRPr="006D6390">
              <w:t>SS : 10,000</w:t>
            </w:r>
          </w:p>
          <w:p w:rsidR="007B4878" w:rsidRPr="006D6390" w:rsidRDefault="007B4878" w:rsidP="008269D9">
            <w:pPr>
              <w:pStyle w:val="ListParagraph"/>
              <w:ind w:left="0"/>
            </w:pPr>
            <w:r w:rsidRPr="006D6390">
              <w:t>LS : 15,000</w:t>
            </w:r>
          </w:p>
        </w:tc>
      </w:tr>
      <w:tr w:rsidR="007B4878" w:rsidRPr="006D6390" w:rsidTr="007B4878">
        <w:trPr>
          <w:trHeight w:val="452"/>
        </w:trPr>
        <w:tc>
          <w:tcPr>
            <w:tcW w:w="3721" w:type="dxa"/>
          </w:tcPr>
          <w:p w:rsidR="007B4878" w:rsidRPr="006D6390" w:rsidRDefault="007B4878" w:rsidP="008269D9">
            <w:pPr>
              <w:rPr>
                <w:rFonts w:ascii="Calibri" w:eastAsia="Calibri" w:hAnsi="Calibri"/>
                <w:b/>
              </w:rPr>
            </w:pPr>
            <w:r w:rsidRPr="006D6390">
              <w:rPr>
                <w:rFonts w:ascii="Calibri" w:eastAsia="Calibri" w:hAnsi="Calibri"/>
                <w:b/>
              </w:rPr>
              <w:t>INDIVIDUAL</w:t>
            </w:r>
          </w:p>
        </w:tc>
        <w:tc>
          <w:tcPr>
            <w:tcW w:w="2529" w:type="dxa"/>
          </w:tcPr>
          <w:p w:rsidR="007B4878" w:rsidRPr="006D6390" w:rsidRDefault="007B4878" w:rsidP="008269D9">
            <w:pPr>
              <w:pStyle w:val="ListParagraph"/>
              <w:ind w:left="0"/>
              <w:rPr>
                <w:b/>
              </w:rPr>
            </w:pPr>
          </w:p>
        </w:tc>
        <w:tc>
          <w:tcPr>
            <w:tcW w:w="2766" w:type="dxa"/>
          </w:tcPr>
          <w:p w:rsidR="007B4878" w:rsidRPr="006D6390" w:rsidRDefault="007B4878" w:rsidP="008269D9">
            <w:pPr>
              <w:pStyle w:val="ListParagraph"/>
              <w:ind w:left="0"/>
              <w:rPr>
                <w:b/>
              </w:rPr>
            </w:pPr>
          </w:p>
        </w:tc>
      </w:tr>
      <w:tr w:rsidR="007B4878" w:rsidRPr="006D6390" w:rsidTr="007B4878">
        <w:trPr>
          <w:trHeight w:val="452"/>
        </w:trPr>
        <w:tc>
          <w:tcPr>
            <w:tcW w:w="3721" w:type="dxa"/>
          </w:tcPr>
          <w:p w:rsidR="007B4878" w:rsidRPr="006D6390" w:rsidRDefault="007B4878" w:rsidP="007B4878">
            <w:pPr>
              <w:pStyle w:val="ListParagraph"/>
              <w:numPr>
                <w:ilvl w:val="0"/>
                <w:numId w:val="3"/>
              </w:numPr>
              <w:spacing w:after="0" w:line="240" w:lineRule="auto"/>
            </w:pPr>
            <w:r w:rsidRPr="006D6390">
              <w:t>Ordinary Member</w:t>
            </w:r>
          </w:p>
        </w:tc>
        <w:tc>
          <w:tcPr>
            <w:tcW w:w="2529" w:type="dxa"/>
          </w:tcPr>
          <w:p w:rsidR="007B4878" w:rsidRPr="006D6390" w:rsidRDefault="007B4878" w:rsidP="008269D9">
            <w:pPr>
              <w:pStyle w:val="ListParagraph"/>
              <w:ind w:left="0"/>
            </w:pPr>
            <w:r>
              <w:t>300 INR</w:t>
            </w:r>
          </w:p>
        </w:tc>
        <w:tc>
          <w:tcPr>
            <w:tcW w:w="2766" w:type="dxa"/>
          </w:tcPr>
          <w:p w:rsidR="007B4878" w:rsidRPr="006D6390" w:rsidRDefault="007B4878" w:rsidP="008269D9">
            <w:pPr>
              <w:pStyle w:val="ListParagraph"/>
              <w:ind w:left="0"/>
            </w:pPr>
            <w:r w:rsidRPr="006D6390">
              <w:t>1000 INR</w:t>
            </w:r>
          </w:p>
        </w:tc>
      </w:tr>
      <w:tr w:rsidR="007B4878" w:rsidRPr="006D6390" w:rsidTr="007B4878">
        <w:trPr>
          <w:trHeight w:val="437"/>
        </w:trPr>
        <w:tc>
          <w:tcPr>
            <w:tcW w:w="3721" w:type="dxa"/>
          </w:tcPr>
          <w:p w:rsidR="007B4878" w:rsidRPr="006D6390" w:rsidRDefault="007B4878" w:rsidP="007B4878">
            <w:pPr>
              <w:pStyle w:val="ListParagraph"/>
              <w:numPr>
                <w:ilvl w:val="0"/>
                <w:numId w:val="3"/>
              </w:numPr>
              <w:spacing w:after="0" w:line="240" w:lineRule="auto"/>
            </w:pPr>
            <w:r w:rsidRPr="006D6390">
              <w:t>Associate Membership</w:t>
            </w:r>
          </w:p>
        </w:tc>
        <w:tc>
          <w:tcPr>
            <w:tcW w:w="2529" w:type="dxa"/>
          </w:tcPr>
          <w:p w:rsidR="007B4878" w:rsidRPr="006D6390" w:rsidRDefault="007B4878" w:rsidP="008269D9">
            <w:pPr>
              <w:pStyle w:val="ListParagraph"/>
              <w:ind w:left="0"/>
            </w:pPr>
            <w:r>
              <w:t>250 INR</w:t>
            </w:r>
          </w:p>
        </w:tc>
        <w:tc>
          <w:tcPr>
            <w:tcW w:w="2766" w:type="dxa"/>
          </w:tcPr>
          <w:p w:rsidR="007B4878" w:rsidRPr="006D6390" w:rsidRDefault="007B4878" w:rsidP="008269D9">
            <w:pPr>
              <w:pStyle w:val="ListParagraph"/>
              <w:ind w:left="0"/>
            </w:pPr>
            <w:r w:rsidRPr="006D6390">
              <w:t>800 INR</w:t>
            </w:r>
          </w:p>
        </w:tc>
      </w:tr>
      <w:tr w:rsidR="007B4878" w:rsidRPr="006D6390" w:rsidTr="007B4878">
        <w:trPr>
          <w:trHeight w:val="452"/>
        </w:trPr>
        <w:tc>
          <w:tcPr>
            <w:tcW w:w="3721" w:type="dxa"/>
          </w:tcPr>
          <w:p w:rsidR="007B4878" w:rsidRPr="006D6390" w:rsidRDefault="007B4878" w:rsidP="007B4878">
            <w:pPr>
              <w:pStyle w:val="ListParagraph"/>
              <w:numPr>
                <w:ilvl w:val="0"/>
                <w:numId w:val="3"/>
              </w:numPr>
              <w:spacing w:after="0" w:line="240" w:lineRule="auto"/>
            </w:pPr>
            <w:r w:rsidRPr="006D6390">
              <w:t>Life time (One –time Subscription)</w:t>
            </w:r>
          </w:p>
        </w:tc>
        <w:tc>
          <w:tcPr>
            <w:tcW w:w="2529" w:type="dxa"/>
          </w:tcPr>
          <w:p w:rsidR="007B4878" w:rsidRPr="006D6390" w:rsidRDefault="007B4878" w:rsidP="008269D9">
            <w:pPr>
              <w:pStyle w:val="ListParagraph"/>
              <w:ind w:left="0"/>
            </w:pPr>
            <w:r>
              <w:t>300 INR</w:t>
            </w:r>
          </w:p>
        </w:tc>
        <w:tc>
          <w:tcPr>
            <w:tcW w:w="2766" w:type="dxa"/>
          </w:tcPr>
          <w:p w:rsidR="007B4878" w:rsidRPr="006D6390" w:rsidRDefault="007B4878" w:rsidP="008269D9">
            <w:pPr>
              <w:pStyle w:val="ListParagraph"/>
              <w:ind w:left="0"/>
            </w:pPr>
            <w:r w:rsidRPr="006D6390">
              <w:t>10,000 INR</w:t>
            </w:r>
          </w:p>
        </w:tc>
      </w:tr>
      <w:tr w:rsidR="007B4878" w:rsidRPr="006D6390" w:rsidTr="007B4878">
        <w:trPr>
          <w:trHeight w:val="452"/>
        </w:trPr>
        <w:tc>
          <w:tcPr>
            <w:tcW w:w="3721" w:type="dxa"/>
          </w:tcPr>
          <w:p w:rsidR="007B4878" w:rsidRPr="006D6390" w:rsidRDefault="007B4878" w:rsidP="008269D9">
            <w:pPr>
              <w:pStyle w:val="ListParagraph"/>
              <w:ind w:left="0"/>
              <w:rPr>
                <w:b/>
              </w:rPr>
            </w:pPr>
            <w:r w:rsidRPr="006D6390">
              <w:rPr>
                <w:b/>
              </w:rPr>
              <w:t>STUDENT</w:t>
            </w:r>
          </w:p>
        </w:tc>
        <w:tc>
          <w:tcPr>
            <w:tcW w:w="2529" w:type="dxa"/>
          </w:tcPr>
          <w:p w:rsidR="007B4878" w:rsidRPr="006D6390" w:rsidRDefault="007B4878" w:rsidP="008269D9">
            <w:pPr>
              <w:pStyle w:val="ListParagraph"/>
              <w:ind w:left="0"/>
              <w:rPr>
                <w:b/>
              </w:rPr>
            </w:pPr>
          </w:p>
        </w:tc>
        <w:tc>
          <w:tcPr>
            <w:tcW w:w="2766" w:type="dxa"/>
          </w:tcPr>
          <w:p w:rsidR="007B4878" w:rsidRPr="006D6390" w:rsidRDefault="007B4878" w:rsidP="008269D9">
            <w:pPr>
              <w:pStyle w:val="ListParagraph"/>
              <w:ind w:left="0"/>
              <w:rPr>
                <w:b/>
              </w:rPr>
            </w:pPr>
          </w:p>
        </w:tc>
      </w:tr>
      <w:tr w:rsidR="007B4878" w:rsidRPr="006D6390" w:rsidTr="007B4878">
        <w:trPr>
          <w:trHeight w:val="437"/>
        </w:trPr>
        <w:tc>
          <w:tcPr>
            <w:tcW w:w="3721" w:type="dxa"/>
          </w:tcPr>
          <w:p w:rsidR="007B4878" w:rsidRPr="006D6390" w:rsidRDefault="007B4878" w:rsidP="007B4878">
            <w:pPr>
              <w:pStyle w:val="ListParagraph"/>
              <w:numPr>
                <w:ilvl w:val="0"/>
                <w:numId w:val="2"/>
              </w:numPr>
              <w:spacing w:after="0" w:line="240" w:lineRule="auto"/>
            </w:pPr>
            <w:r w:rsidRPr="006D6390">
              <w:t>Student Members</w:t>
            </w:r>
          </w:p>
        </w:tc>
        <w:tc>
          <w:tcPr>
            <w:tcW w:w="2529" w:type="dxa"/>
          </w:tcPr>
          <w:p w:rsidR="007B4878" w:rsidRPr="006D6390" w:rsidRDefault="007B4878" w:rsidP="008269D9">
            <w:pPr>
              <w:pStyle w:val="ListParagraph"/>
              <w:ind w:left="0"/>
            </w:pPr>
            <w:r>
              <w:t>75 INR</w:t>
            </w:r>
          </w:p>
        </w:tc>
        <w:tc>
          <w:tcPr>
            <w:tcW w:w="2766" w:type="dxa"/>
          </w:tcPr>
          <w:p w:rsidR="007B4878" w:rsidRPr="006D6390" w:rsidRDefault="007B4878" w:rsidP="008269D9">
            <w:pPr>
              <w:pStyle w:val="ListParagraph"/>
              <w:ind w:left="0"/>
            </w:pPr>
            <w:r w:rsidRPr="006D6390">
              <w:t>500 INR</w:t>
            </w:r>
          </w:p>
        </w:tc>
      </w:tr>
      <w:tr w:rsidR="007B4878" w:rsidRPr="006D6390" w:rsidTr="007B4878">
        <w:trPr>
          <w:trHeight w:val="4356"/>
        </w:trPr>
        <w:tc>
          <w:tcPr>
            <w:tcW w:w="3721" w:type="dxa"/>
          </w:tcPr>
          <w:p w:rsidR="007B4878" w:rsidRPr="006D6390" w:rsidRDefault="007B4878" w:rsidP="007B4878">
            <w:pPr>
              <w:pStyle w:val="ListParagraph"/>
              <w:ind w:left="0"/>
            </w:pPr>
            <w:r w:rsidRPr="006D6390">
              <w:rPr>
                <w:b/>
              </w:rPr>
              <w:t>PEOFESSIONAL (New category)</w:t>
            </w:r>
            <w:r w:rsidRPr="006D6390">
              <w:t xml:space="preserve"> replacing existing category of Affiliate Membership</w:t>
            </w:r>
          </w:p>
          <w:p w:rsidR="007B4878" w:rsidRPr="006D6390" w:rsidRDefault="007B4878" w:rsidP="007B4878">
            <w:pPr>
              <w:pStyle w:val="ListParagraph"/>
              <w:ind w:left="0"/>
            </w:pPr>
            <w:r w:rsidRPr="006D6390">
              <w:rPr>
                <w:b/>
              </w:rPr>
              <w:t>Definition :</w:t>
            </w:r>
            <w:r w:rsidRPr="006D6390">
              <w:t xml:space="preserve"> Shall be such other persons as are directly engaged in the promotion of science and art of making ,shaping and treating of metals and alloys for a period of not less than 10 years who in the opinion of the Council are qualified for membership</w:t>
            </w:r>
          </w:p>
          <w:p w:rsidR="007B4878" w:rsidRPr="006D6390" w:rsidRDefault="007B4878" w:rsidP="007B4878">
            <w:pPr>
              <w:pStyle w:val="ListParagraph"/>
              <w:ind w:left="0"/>
              <w:rPr>
                <w:b/>
              </w:rPr>
            </w:pPr>
            <w:r w:rsidRPr="006D6390">
              <w:rPr>
                <w:b/>
              </w:rPr>
              <w:t xml:space="preserve">And </w:t>
            </w:r>
          </w:p>
          <w:p w:rsidR="007B4878" w:rsidRPr="006D6390" w:rsidRDefault="007B4878" w:rsidP="007B4878">
            <w:pPr>
              <w:pStyle w:val="ListParagraph"/>
              <w:ind w:left="0"/>
            </w:pPr>
            <w:r w:rsidRPr="006D6390">
              <w:t>Any person who is not eligible for Membership of the Institute in any other way, but whose association with the Institute will in the view of the Committee be useful to the Institute may be elected as a Professional Member.</w:t>
            </w:r>
          </w:p>
        </w:tc>
        <w:tc>
          <w:tcPr>
            <w:tcW w:w="2529" w:type="dxa"/>
          </w:tcPr>
          <w:p w:rsidR="007B4878" w:rsidRPr="006D6390" w:rsidRDefault="007B4878" w:rsidP="007B4878">
            <w:pPr>
              <w:pStyle w:val="ListParagraph"/>
              <w:ind w:left="0"/>
            </w:pPr>
            <w:r>
              <w:t>400 INR</w:t>
            </w:r>
            <w:bookmarkStart w:id="0" w:name="_GoBack"/>
            <w:bookmarkEnd w:id="0"/>
          </w:p>
        </w:tc>
        <w:tc>
          <w:tcPr>
            <w:tcW w:w="2766" w:type="dxa"/>
          </w:tcPr>
          <w:p w:rsidR="007B4878" w:rsidRPr="006D6390" w:rsidRDefault="007B4878" w:rsidP="007B4878">
            <w:pPr>
              <w:pStyle w:val="ListParagraph"/>
              <w:ind w:left="0"/>
            </w:pPr>
            <w:r w:rsidRPr="006D6390">
              <w:t xml:space="preserve">12,000 INR one time or in six equal instalments of Rs.2000/- every consecutive </w:t>
            </w:r>
            <w:proofErr w:type="gramStart"/>
            <w:r w:rsidRPr="006D6390">
              <w:t>year ,</w:t>
            </w:r>
            <w:proofErr w:type="gramEnd"/>
            <w:r w:rsidRPr="006D6390">
              <w:t xml:space="preserve"> shall be entitled to become a Professional Member of the Institute.</w:t>
            </w:r>
          </w:p>
          <w:p w:rsidR="007B4878" w:rsidRPr="006D6390" w:rsidRDefault="007B4878" w:rsidP="007B4878">
            <w:pPr>
              <w:pStyle w:val="ListParagraph"/>
              <w:ind w:left="0"/>
            </w:pPr>
            <w:r w:rsidRPr="006D6390">
              <w:t>After 6 years he shall become a Life Member in Professional Category.</w:t>
            </w:r>
          </w:p>
        </w:tc>
      </w:tr>
    </w:tbl>
    <w:p w:rsidR="00287002" w:rsidRDefault="007B4878"/>
    <w:sectPr w:rsidR="00287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173E5"/>
    <w:multiLevelType w:val="hybridMultilevel"/>
    <w:tmpl w:val="CF14C180"/>
    <w:lvl w:ilvl="0" w:tplc="6674EF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C4140C"/>
    <w:multiLevelType w:val="hybridMultilevel"/>
    <w:tmpl w:val="92EA817E"/>
    <w:lvl w:ilvl="0" w:tplc="D71CD8E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FC1DA7"/>
    <w:multiLevelType w:val="hybridMultilevel"/>
    <w:tmpl w:val="C2642488"/>
    <w:lvl w:ilvl="0" w:tplc="5FACB608">
      <w:start w:val="1"/>
      <w:numFmt w:val="upperLetter"/>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78"/>
    <w:rsid w:val="007B4878"/>
    <w:rsid w:val="00CD3374"/>
    <w:rsid w:val="00DA02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F8971-BCCF-42C3-81D3-D5609F1F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878"/>
    <w:pPr>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Sadhan Roy</dc:creator>
  <cp:keywords/>
  <dc:description/>
  <cp:lastModifiedBy>Sadhan Roy</cp:lastModifiedBy>
  <cp:revision>1</cp:revision>
  <dcterms:created xsi:type="dcterms:W3CDTF">2018-04-02T07:09:00Z</dcterms:created>
  <dcterms:modified xsi:type="dcterms:W3CDTF">2018-04-02T07:19:00Z</dcterms:modified>
</cp:coreProperties>
</file>